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01" w:rsidRDefault="00AE7801" w:rsidP="00AE78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sz w:val="28"/>
          <w:szCs w:val="28"/>
        </w:rPr>
      </w:pPr>
    </w:p>
    <w:p w:rsidR="003A6191" w:rsidRDefault="009F1F11" w:rsidP="00AE78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sz w:val="28"/>
          <w:szCs w:val="28"/>
        </w:rPr>
      </w:pPr>
      <w:r w:rsidRPr="00E74BD6">
        <w:rPr>
          <w:b/>
          <w:sz w:val="28"/>
          <w:szCs w:val="28"/>
        </w:rPr>
        <w:t>YATAY BÖLÜNEBİLİR ÇİFT EMİŞLİ POMPA</w:t>
      </w:r>
      <w:r w:rsidR="00483F4D">
        <w:rPr>
          <w:b/>
          <w:sz w:val="28"/>
          <w:szCs w:val="28"/>
        </w:rPr>
        <w:t xml:space="preserve"> TEKNİK</w:t>
      </w:r>
      <w:r w:rsidRPr="00E74BD6">
        <w:rPr>
          <w:b/>
          <w:sz w:val="28"/>
          <w:szCs w:val="28"/>
        </w:rPr>
        <w:t xml:space="preserve"> ŞARTNAMESİ</w:t>
      </w:r>
    </w:p>
    <w:p w:rsidR="00AE7801" w:rsidRPr="00E74BD6" w:rsidRDefault="00AE7801" w:rsidP="00AE78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sz w:val="28"/>
          <w:szCs w:val="28"/>
        </w:rPr>
      </w:pPr>
    </w:p>
    <w:p w:rsidR="00AE7801" w:rsidRDefault="00AE7801" w:rsidP="00AE7801">
      <w:pPr>
        <w:pStyle w:val="ListParagraph"/>
        <w:rPr>
          <w:b/>
        </w:rPr>
      </w:pPr>
      <w:bookmarkStart w:id="0" w:name="_GoBack"/>
      <w:bookmarkEnd w:id="0"/>
    </w:p>
    <w:p w:rsidR="00AA4935" w:rsidRDefault="0098545E" w:rsidP="00AA4935">
      <w:pPr>
        <w:pStyle w:val="ListParagraph"/>
        <w:numPr>
          <w:ilvl w:val="0"/>
          <w:numId w:val="3"/>
        </w:numPr>
        <w:rPr>
          <w:b/>
        </w:rPr>
      </w:pPr>
      <w:r w:rsidRPr="00E74BD6">
        <w:rPr>
          <w:b/>
        </w:rPr>
        <w:t>PERFORMANS</w:t>
      </w:r>
    </w:p>
    <w:p w:rsidR="00AA4935" w:rsidRPr="00AA4935" w:rsidRDefault="00AA4935" w:rsidP="00AA4935">
      <w:pPr>
        <w:pStyle w:val="ListParagraph"/>
        <w:rPr>
          <w:b/>
        </w:rPr>
      </w:pPr>
    </w:p>
    <w:p w:rsidR="0098545E" w:rsidRDefault="0098545E" w:rsidP="0098545E">
      <w:pPr>
        <w:pStyle w:val="ListParagraph"/>
        <w:numPr>
          <w:ilvl w:val="1"/>
          <w:numId w:val="3"/>
        </w:numPr>
        <w:ind w:hanging="26"/>
        <w:rPr>
          <w:b/>
        </w:rPr>
      </w:pPr>
      <w:r w:rsidRPr="00EA70D0">
        <w:rPr>
          <w:b/>
        </w:rPr>
        <w:t>Su</w:t>
      </w:r>
      <w:r w:rsidRPr="00271BF3">
        <w:rPr>
          <w:b/>
          <w:strike/>
          <w:color w:val="FF0000"/>
        </w:rPr>
        <w:t xml:space="preserve"> </w:t>
      </w:r>
      <w:r w:rsidRPr="00EA70D0">
        <w:rPr>
          <w:b/>
        </w:rPr>
        <w:t>Bilgileri</w:t>
      </w:r>
    </w:p>
    <w:p w:rsidR="005C0AD9" w:rsidRPr="00EA70D0" w:rsidRDefault="005C0AD9" w:rsidP="005C0AD9">
      <w:pPr>
        <w:pStyle w:val="ListParagraph"/>
        <w:ind w:left="735"/>
        <w:rPr>
          <w:b/>
        </w:rPr>
      </w:pPr>
    </w:p>
    <w:p w:rsidR="0098545E" w:rsidRDefault="0098545E" w:rsidP="005C0AD9">
      <w:pPr>
        <w:pStyle w:val="ListParagraph"/>
        <w:ind w:left="735"/>
      </w:pPr>
      <w:r>
        <w:t xml:space="preserve">- </w:t>
      </w:r>
      <w:r w:rsidR="00EA70D0">
        <w:t xml:space="preserve">Cinsi : Mineralli su, saf su, demineralize su, tuzlu su, termal su, drenaj suyu, deniz suyu, acı </w:t>
      </w:r>
      <w:r w:rsidR="00483F4D">
        <w:t xml:space="preserve">          </w:t>
      </w:r>
      <w:r w:rsidR="00EA70D0">
        <w:t>su vs</w:t>
      </w:r>
      <w:r w:rsidR="00483F4D">
        <w:t xml:space="preserve">     </w:t>
      </w:r>
    </w:p>
    <w:p w:rsidR="0098545E" w:rsidRDefault="0098545E" w:rsidP="005C0AD9">
      <w:pPr>
        <w:pStyle w:val="ListParagraph"/>
        <w:ind w:left="735"/>
      </w:pPr>
      <w:r>
        <w:t xml:space="preserve">- </w:t>
      </w:r>
      <w:r w:rsidR="00EA70D0">
        <w:t>Sıcaklık :</w:t>
      </w:r>
    </w:p>
    <w:p w:rsidR="00EA70D0" w:rsidRDefault="00EA70D0" w:rsidP="005C0AD9">
      <w:pPr>
        <w:pStyle w:val="ListParagraph"/>
        <w:ind w:left="735"/>
      </w:pPr>
      <w:r>
        <w:t>- İçeriğindeki katı madde oranı ve maksimum parça büyüklüğü</w:t>
      </w:r>
    </w:p>
    <w:p w:rsidR="0098545E" w:rsidRDefault="00EA70D0" w:rsidP="005C0AD9">
      <w:pPr>
        <w:pStyle w:val="ListParagraph"/>
        <w:ind w:left="735"/>
      </w:pPr>
      <w:r>
        <w:t>- Yoğunluk :</w:t>
      </w:r>
    </w:p>
    <w:p w:rsidR="00271BF3" w:rsidRDefault="00271BF3" w:rsidP="005C0AD9">
      <w:pPr>
        <w:pStyle w:val="ListParagraph"/>
        <w:ind w:left="735"/>
      </w:pPr>
      <w:r>
        <w:t>-vb</w:t>
      </w:r>
    </w:p>
    <w:p w:rsidR="00EA70D0" w:rsidRPr="00EA70D0" w:rsidRDefault="00EA70D0" w:rsidP="00EA70D0">
      <w:pPr>
        <w:pStyle w:val="ListParagraph"/>
        <w:numPr>
          <w:ilvl w:val="1"/>
          <w:numId w:val="3"/>
        </w:numPr>
        <w:ind w:hanging="26"/>
        <w:rPr>
          <w:b/>
        </w:rPr>
      </w:pPr>
      <w:r w:rsidRPr="00EA70D0">
        <w:rPr>
          <w:b/>
        </w:rPr>
        <w:t>Performans Değerleri</w:t>
      </w:r>
    </w:p>
    <w:p w:rsidR="00EA70D0" w:rsidRDefault="00EA70D0" w:rsidP="00EA70D0">
      <w:pPr>
        <w:pStyle w:val="ListParagraph"/>
        <w:ind w:left="735"/>
      </w:pPr>
    </w:p>
    <w:p w:rsidR="00EA70D0" w:rsidRDefault="00EA70D0" w:rsidP="00EA70D0">
      <w:pPr>
        <w:pStyle w:val="ListParagraph"/>
        <w:ind w:left="735"/>
      </w:pPr>
      <w:r>
        <w:t>- Debi</w:t>
      </w:r>
      <w:r w:rsidR="00D75C61">
        <w:t xml:space="preserve"> :</w:t>
      </w:r>
    </w:p>
    <w:p w:rsidR="00EA70D0" w:rsidRDefault="00EA70D0" w:rsidP="00EA70D0">
      <w:pPr>
        <w:pStyle w:val="ListParagraph"/>
        <w:ind w:left="735"/>
      </w:pPr>
      <w:r>
        <w:t>- Basma Yüksekliği</w:t>
      </w:r>
      <w:r w:rsidR="00D75C61">
        <w:t xml:space="preserve"> :</w:t>
      </w:r>
    </w:p>
    <w:p w:rsidR="00AA4935" w:rsidRDefault="00AA4935" w:rsidP="00EA70D0">
      <w:pPr>
        <w:pStyle w:val="ListParagraph"/>
        <w:ind w:left="735"/>
      </w:pPr>
      <w:r>
        <w:t>-Pompanın çalışma aralığı</w:t>
      </w:r>
    </w:p>
    <w:p w:rsidR="00EA70D0" w:rsidRDefault="00EA70D0" w:rsidP="00EA70D0">
      <w:pPr>
        <w:pStyle w:val="ListParagraph"/>
        <w:ind w:left="735"/>
      </w:pPr>
      <w:r>
        <w:t>-</w:t>
      </w:r>
      <w:r w:rsidR="00D75C61">
        <w:t xml:space="preserve"> </w:t>
      </w:r>
      <w:r>
        <w:t>Pompanın Emme şartları : Pompanın emme flanşındaki basınç, emme tankındaki su seviyesi vs</w:t>
      </w:r>
    </w:p>
    <w:p w:rsidR="00075624" w:rsidRPr="00483F4D" w:rsidRDefault="00075624" w:rsidP="00EA70D0">
      <w:pPr>
        <w:pStyle w:val="ListParagraph"/>
        <w:ind w:left="735"/>
        <w:rPr>
          <w:color w:val="FF0000"/>
        </w:rPr>
      </w:pPr>
      <w:r>
        <w:t xml:space="preserve">- Tesisatın </w:t>
      </w:r>
      <w:r w:rsidR="00271BF3" w:rsidRPr="00483F4D">
        <w:rPr>
          <w:b/>
          <w:color w:val="262626" w:themeColor="text1" w:themeTint="D9"/>
        </w:rPr>
        <w:t>ENPY mevcut</w:t>
      </w:r>
      <w:r w:rsidR="00271BF3" w:rsidRPr="00483F4D">
        <w:rPr>
          <w:color w:val="262626" w:themeColor="text1" w:themeTint="D9"/>
        </w:rPr>
        <w:t xml:space="preserve"> </w:t>
      </w:r>
      <w:r>
        <w:t>değeri : Eğer hesap edilemiyorsa pompanın emme şartları iyi tarif edilmeli</w:t>
      </w:r>
    </w:p>
    <w:p w:rsidR="00AA4935" w:rsidRDefault="00075624" w:rsidP="00EA70D0">
      <w:pPr>
        <w:pStyle w:val="ListParagraph"/>
        <w:ind w:left="735"/>
      </w:pPr>
      <w:r>
        <w:t>- Devir sayısı : Düşük devir sayısı tercih edilir</w:t>
      </w:r>
    </w:p>
    <w:p w:rsidR="00075624" w:rsidRDefault="00075624" w:rsidP="00EA70D0">
      <w:pPr>
        <w:pStyle w:val="ListParagraph"/>
        <w:ind w:left="735"/>
      </w:pPr>
    </w:p>
    <w:p w:rsidR="00AA4935" w:rsidRPr="00AA4935" w:rsidRDefault="00AA4935" w:rsidP="00AA4935">
      <w:pPr>
        <w:pStyle w:val="ListParagraph"/>
        <w:numPr>
          <w:ilvl w:val="1"/>
          <w:numId w:val="3"/>
        </w:numPr>
        <w:ind w:hanging="26"/>
        <w:rPr>
          <w:b/>
        </w:rPr>
      </w:pPr>
      <w:r w:rsidRPr="00AA4935">
        <w:rPr>
          <w:b/>
        </w:rPr>
        <w:t>Ortam şartları</w:t>
      </w:r>
    </w:p>
    <w:p w:rsidR="00AA4935" w:rsidRDefault="00AA4935" w:rsidP="00EA70D0">
      <w:pPr>
        <w:pStyle w:val="ListParagraph"/>
        <w:ind w:left="735"/>
      </w:pPr>
    </w:p>
    <w:p w:rsidR="00D75C61" w:rsidRDefault="00AA4935" w:rsidP="00EA70D0">
      <w:pPr>
        <w:pStyle w:val="ListParagraph"/>
        <w:ind w:left="735"/>
      </w:pPr>
      <w:r>
        <w:t>- Ortam sıcaklığı</w:t>
      </w:r>
    </w:p>
    <w:p w:rsidR="00AA4935" w:rsidRDefault="00AA4935" w:rsidP="00EA70D0">
      <w:pPr>
        <w:pStyle w:val="ListParagraph"/>
        <w:ind w:left="735"/>
      </w:pPr>
      <w:r>
        <w:t xml:space="preserve">- </w:t>
      </w:r>
      <w:r w:rsidR="00075624">
        <w:t>D</w:t>
      </w:r>
      <w:r>
        <w:t>eniz seviyesinden yüksekli</w:t>
      </w:r>
      <w:r w:rsidR="00075624">
        <w:t>k</w:t>
      </w:r>
    </w:p>
    <w:p w:rsidR="00075624" w:rsidRDefault="00075624" w:rsidP="00EA70D0">
      <w:pPr>
        <w:pStyle w:val="ListParagraph"/>
        <w:ind w:left="735"/>
      </w:pPr>
      <w:r>
        <w:t>- Bağıl nem</w:t>
      </w:r>
    </w:p>
    <w:p w:rsidR="000D77C5" w:rsidRDefault="000D77C5" w:rsidP="00EA70D0">
      <w:pPr>
        <w:pStyle w:val="ListParagraph"/>
        <w:ind w:left="735"/>
      </w:pPr>
    </w:p>
    <w:p w:rsidR="0098545E" w:rsidRDefault="00D46745" w:rsidP="00F13F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GENEL</w:t>
      </w:r>
    </w:p>
    <w:p w:rsidR="00D46745" w:rsidRPr="00F13F6E" w:rsidRDefault="00D46745" w:rsidP="00D46745">
      <w:pPr>
        <w:pStyle w:val="ListParagraph"/>
        <w:rPr>
          <w:b/>
        </w:rPr>
      </w:pPr>
    </w:p>
    <w:p w:rsidR="00D46745" w:rsidRDefault="00D46745" w:rsidP="00D46745">
      <w:pPr>
        <w:pStyle w:val="ListParagraph"/>
        <w:ind w:left="735"/>
      </w:pPr>
      <w:r>
        <w:t xml:space="preserve">-Pompa üniteleri, </w:t>
      </w:r>
      <w:r w:rsidR="00483F4D">
        <w:t>çalışma aralığında</w:t>
      </w:r>
      <w:r>
        <w:t xml:space="preserve"> ve ISO 10816 </w:t>
      </w:r>
      <w:r w:rsidR="00483F4D">
        <w:t>Kısım</w:t>
      </w:r>
      <w:r>
        <w:t xml:space="preserve"> 7’de tarif edilen titreşim değerlerinde çalışacak</w:t>
      </w:r>
      <w:r w:rsidR="00483F4D">
        <w:t>, ISO 1996 da tanımlanan gürültü değerlerini aşmayacaklardır.</w:t>
      </w:r>
      <w:r>
        <w:t xml:space="preserve"> </w:t>
      </w:r>
    </w:p>
    <w:p w:rsidR="00D46745" w:rsidRDefault="00D46745" w:rsidP="00D46745">
      <w:pPr>
        <w:pStyle w:val="ListParagraph"/>
        <w:ind w:left="735"/>
      </w:pPr>
      <w:r>
        <w:t>-Pompalar,</w:t>
      </w:r>
      <w:r w:rsidR="00483F4D">
        <w:t>istenen H-Q değerinde sürekli</w:t>
      </w:r>
      <w:r w:rsidR="0083334B">
        <w:t xml:space="preserve"> </w:t>
      </w:r>
      <w:r>
        <w:t xml:space="preserve">çalışmaya </w:t>
      </w:r>
      <w:r w:rsidR="0083334B">
        <w:t>uygun</w:t>
      </w:r>
      <w:r w:rsidR="00483F4D">
        <w:t xml:space="preserve"> olacak</w:t>
      </w:r>
      <w:r w:rsidR="0083334B">
        <w:t xml:space="preserve"> </w:t>
      </w:r>
      <w:r>
        <w:t xml:space="preserve">ve </w:t>
      </w:r>
      <w:r w:rsidR="0083334B">
        <w:t>kararlı</w:t>
      </w:r>
      <w:r>
        <w:t xml:space="preserve"> “</w:t>
      </w:r>
      <w:r w:rsidR="0083334B">
        <w:t>H</w:t>
      </w:r>
      <w:r>
        <w:t>-</w:t>
      </w:r>
      <w:r w:rsidR="0083334B">
        <w:t>Q</w:t>
      </w:r>
      <w:r>
        <w:t>” karakteristiğine sahip olacaktır.</w:t>
      </w:r>
    </w:p>
    <w:p w:rsidR="00D46745" w:rsidRDefault="00D46745" w:rsidP="00D46745">
      <w:pPr>
        <w:pStyle w:val="ListParagraph"/>
        <w:ind w:left="735"/>
      </w:pPr>
      <w:r>
        <w:t xml:space="preserve">- Pompaların </w:t>
      </w:r>
      <w:r w:rsidR="0083334B">
        <w:t xml:space="preserve">çalışma aralığında </w:t>
      </w:r>
      <w:r>
        <w:t>çektiği</w:t>
      </w:r>
      <w:r w:rsidR="00483F4D">
        <w:t xml:space="preserve"> maksimum</w:t>
      </w:r>
      <w:r>
        <w:t xml:space="preserve"> güç değeri, tahrik motorunun</w:t>
      </w:r>
      <w:r w:rsidR="004647D7">
        <w:t xml:space="preserve"> </w:t>
      </w:r>
      <w:r>
        <w:t xml:space="preserve"> gücünden </w:t>
      </w:r>
      <w:r w:rsidR="004647D7">
        <w:t>en fazla % 10 büyük olabilir.</w:t>
      </w:r>
    </w:p>
    <w:p w:rsidR="004647D7" w:rsidRDefault="00D46745" w:rsidP="00D46745">
      <w:pPr>
        <w:pStyle w:val="ListParagraph"/>
        <w:ind w:left="735"/>
      </w:pPr>
      <w:r>
        <w:t xml:space="preserve">-İstekliler, çalışma </w:t>
      </w:r>
      <w:r w:rsidR="004647D7">
        <w:t xml:space="preserve">aralığı </w:t>
      </w:r>
      <w:r>
        <w:t xml:space="preserve"> için teklif ettikleri pompa ünitelerine ait </w:t>
      </w:r>
      <w:r w:rsidR="00466355">
        <w:t>ENPYG</w:t>
      </w:r>
      <w:r>
        <w:t xml:space="preserve"> (</w:t>
      </w:r>
      <w:r w:rsidR="00466355">
        <w:t xml:space="preserve">Emmedeki Net Pozitif Yük Gerekli) </w:t>
      </w:r>
      <w:r>
        <w:t>değeri</w:t>
      </w:r>
      <w:r w:rsidR="00466355">
        <w:t>ni</w:t>
      </w:r>
      <w:r w:rsidR="004647D7">
        <w:t xml:space="preserve"> tablo halinde </w:t>
      </w:r>
      <w:r w:rsidR="00466355">
        <w:t xml:space="preserve"> tekliflerinde belirteceklerdir</w:t>
      </w:r>
      <w:r w:rsidR="004647D7">
        <w:t>.</w:t>
      </w:r>
      <w:r w:rsidR="00466355">
        <w:t xml:space="preserve"> </w:t>
      </w:r>
    </w:p>
    <w:p w:rsidR="004647D7" w:rsidRDefault="00D46745" w:rsidP="00D46745">
      <w:pPr>
        <w:pStyle w:val="ListParagraph"/>
        <w:ind w:left="735"/>
      </w:pPr>
      <w:r>
        <w:lastRenderedPageBreak/>
        <w:t xml:space="preserve">-Pompalar motorlara esnek kaplinle bağlanacaktır. </w:t>
      </w:r>
      <w:r w:rsidR="00890B1C">
        <w:t>P</w:t>
      </w:r>
      <w:r>
        <w:t>ompa istasyonlarında pompa ve motor ünitesi aynı kaide (şase) üzerinde olacaktır</w:t>
      </w:r>
    </w:p>
    <w:p w:rsidR="00D46745" w:rsidRDefault="00D46745" w:rsidP="00D46745">
      <w:pPr>
        <w:pStyle w:val="ListParagraph"/>
        <w:ind w:left="735"/>
      </w:pPr>
      <w:r>
        <w:t>- Pompa gövdeleri,</w:t>
      </w:r>
      <w:r w:rsidR="004647D7">
        <w:t>ISO 9905 ‘e göre,</w:t>
      </w:r>
      <w:r>
        <w:t xml:space="preserve"> pompanın </w:t>
      </w:r>
      <w:r w:rsidR="004647D7">
        <w:t xml:space="preserve">basma </w:t>
      </w:r>
      <w:r>
        <w:t xml:space="preserve"> yüksekliğinin en az 1,5 katı basınca</w:t>
      </w:r>
      <w:r w:rsidR="004647D7">
        <w:t xml:space="preserve"> </w:t>
      </w:r>
      <w:r w:rsidR="00271BF3" w:rsidRPr="004647D7">
        <w:rPr>
          <w:color w:val="262626" w:themeColor="text1" w:themeTint="D9"/>
        </w:rPr>
        <w:t xml:space="preserve">dayanıklı </w:t>
      </w:r>
      <w:r>
        <w:t xml:space="preserve">olacaktır. </w:t>
      </w:r>
    </w:p>
    <w:p w:rsidR="00D46745" w:rsidRDefault="00D46745" w:rsidP="00D46745">
      <w:pPr>
        <w:pStyle w:val="ListParagraph"/>
        <w:ind w:left="735"/>
      </w:pPr>
      <w:r>
        <w:t xml:space="preserve">-Pompalar </w:t>
      </w:r>
      <w:r w:rsidR="00187FA8">
        <w:t xml:space="preserve">TS EN </w:t>
      </w:r>
      <w:r>
        <w:t>ISO 9905</w:t>
      </w:r>
      <w:r w:rsidR="00187FA8">
        <w:t xml:space="preserve"> (Sınıf 1)</w:t>
      </w:r>
      <w:r>
        <w:t xml:space="preserve"> standardına uygun </w:t>
      </w:r>
      <w:r w:rsidR="00187FA8">
        <w:t>imal edilmiş olacaktır. TS EN ISO 5199 (Sınıf 2)  ve TS EN ISO 9908 (Sınıf 3) standartlarına göre üretilen pompalar kabul edilmeyecektir.</w:t>
      </w:r>
    </w:p>
    <w:p w:rsidR="00D46745" w:rsidRDefault="00D46745" w:rsidP="00D46745">
      <w:pPr>
        <w:pStyle w:val="ListParagraph"/>
        <w:ind w:left="735"/>
      </w:pPr>
      <w:bookmarkStart w:id="1" w:name="_Ref43864190"/>
      <w:r>
        <w:t xml:space="preserve">-Pompaların </w:t>
      </w:r>
      <w:r w:rsidR="007A6A29">
        <w:t xml:space="preserve">çarkları </w:t>
      </w:r>
      <w:r w:rsidR="008B1A71">
        <w:t xml:space="preserve">TS 2576 G6.3 (veya </w:t>
      </w:r>
      <w:r w:rsidR="007A6A29">
        <w:t>ISO 1940 G6.3</w:t>
      </w:r>
      <w:r w:rsidR="008B1A71">
        <w:t>)</w:t>
      </w:r>
      <w:r w:rsidR="007A6A29">
        <w:t xml:space="preserve">’e göre dinamik </w:t>
      </w:r>
      <w:r w:rsidR="008B1A71">
        <w:t>dengelenecektir</w:t>
      </w:r>
      <w:r w:rsidR="007A6A29">
        <w:t>.</w:t>
      </w:r>
    </w:p>
    <w:p w:rsidR="00D46745" w:rsidRDefault="00D46745" w:rsidP="00D46745">
      <w:pPr>
        <w:pStyle w:val="ListParagraph"/>
        <w:ind w:left="735"/>
      </w:pPr>
      <w:r>
        <w:t>-</w:t>
      </w:r>
      <w:r w:rsidR="00257C25">
        <w:t>Pompa yatakları gres yağlamalı</w:t>
      </w:r>
      <w:r w:rsidR="004647D7">
        <w:t xml:space="preserve"> rulmanlı</w:t>
      </w:r>
      <w:r w:rsidR="00257C25">
        <w:t xml:space="preserve"> tip olacaktır.</w:t>
      </w:r>
      <w:r>
        <w:t xml:space="preserve"> </w:t>
      </w:r>
    </w:p>
    <w:p w:rsidR="00D46745" w:rsidRDefault="00D46745" w:rsidP="00D46745">
      <w:pPr>
        <w:pStyle w:val="ListParagraph"/>
        <w:ind w:left="735"/>
      </w:pPr>
      <w:r>
        <w:t>-Pompalarda basınç göstergeleri, havanın tahliyesi, pompa içi drenajı ve salmastra soğutma sularının drenajı için uygun evsafta vidalı tapalarla kapatılmış bağlantı delikleri bulunacaktır.</w:t>
      </w:r>
    </w:p>
    <w:p w:rsidR="00271BF3" w:rsidRDefault="00271BF3" w:rsidP="00271BF3">
      <w:r>
        <w:t xml:space="preserve">       3. </w:t>
      </w:r>
      <w:r w:rsidRPr="00AE7801">
        <w:rPr>
          <w:b/>
        </w:rPr>
        <w:t>MALZEME</w:t>
      </w:r>
    </w:p>
    <w:p w:rsidR="00271BF3" w:rsidRPr="00F127D9" w:rsidRDefault="00271BF3" w:rsidP="00271BF3">
      <w:pPr>
        <w:rPr>
          <w:color w:val="595959" w:themeColor="text1" w:themeTint="A6"/>
        </w:rPr>
      </w:pPr>
      <w:r w:rsidRPr="00F127D9">
        <w:rPr>
          <w:color w:val="595959" w:themeColor="text1" w:themeTint="A6"/>
        </w:rPr>
        <w:t xml:space="preserve">              -</w:t>
      </w:r>
      <w:r w:rsidRPr="00F127D9">
        <w:rPr>
          <w:strike/>
          <w:color w:val="595959" w:themeColor="text1" w:themeTint="A6"/>
        </w:rPr>
        <w:t xml:space="preserve"> </w:t>
      </w:r>
      <w:r w:rsidRPr="00F127D9">
        <w:rPr>
          <w:color w:val="595959" w:themeColor="text1" w:themeTint="A6"/>
        </w:rPr>
        <w:t>Pompa parçalarının malzeme özellikleri basılacak sıvıya</w:t>
      </w:r>
      <w:r w:rsidR="00F127D9">
        <w:rPr>
          <w:color w:val="595959" w:themeColor="text1" w:themeTint="A6"/>
        </w:rPr>
        <w:t xml:space="preserve"> ve ortama</w:t>
      </w:r>
      <w:r w:rsidRPr="00F127D9">
        <w:rPr>
          <w:color w:val="595959" w:themeColor="text1" w:themeTint="A6"/>
        </w:rPr>
        <w:t xml:space="preserve"> uygun olacak ve teklifte açıkça    belirtilecektir</w:t>
      </w:r>
    </w:p>
    <w:p w:rsidR="004647D7" w:rsidRPr="00F127D9" w:rsidRDefault="004647D7" w:rsidP="00271BF3">
      <w:pPr>
        <w:rPr>
          <w:color w:val="595959" w:themeColor="text1" w:themeTint="A6"/>
        </w:rPr>
      </w:pPr>
      <w:r w:rsidRPr="00F127D9">
        <w:rPr>
          <w:color w:val="595959" w:themeColor="text1" w:themeTint="A6"/>
        </w:rPr>
        <w:t>Önerilen malzemeler( minimum) aşağıdaki tabloda gösterilmiş olup, idare tarafından daha iyi olmak üzere değiştirilebilir: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500"/>
        <w:gridCol w:w="1245"/>
        <w:gridCol w:w="1155"/>
        <w:gridCol w:w="1395"/>
        <w:gridCol w:w="1380"/>
        <w:gridCol w:w="2055"/>
      </w:tblGrid>
      <w:tr w:rsidR="00F127D9" w:rsidRPr="00F127D9" w:rsidTr="00F127D9">
        <w:trPr>
          <w:trHeight w:val="54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spacing w:after="200" w:line="276" w:lineRule="auto"/>
              <w:ind w:left="-23"/>
              <w:rPr>
                <w:color w:val="595959" w:themeColor="text1" w:themeTint="A6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Gövde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çark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mil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Aşınma bileziği</w:t>
            </w:r>
          </w:p>
        </w:tc>
        <w:tc>
          <w:tcPr>
            <w:tcW w:w="2055" w:type="dxa"/>
            <w:tcBorders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</w:p>
        </w:tc>
      </w:tr>
      <w:tr w:rsidR="00F127D9" w:rsidRPr="00F127D9" w:rsidTr="00F127D9">
        <w:trPr>
          <w:trHeight w:val="435"/>
        </w:trPr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spacing w:after="200" w:line="276" w:lineRule="auto"/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içmesuyu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GGG40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304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 420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Bronz CuSn10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</w:p>
        </w:tc>
      </w:tr>
      <w:tr w:rsidR="00F127D9" w:rsidRPr="00F127D9" w:rsidTr="00F127D9">
        <w:trPr>
          <w:trHeight w:val="450"/>
        </w:trPr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spacing w:after="200" w:line="276" w:lineRule="auto"/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denizsuyu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Bronz CuSn10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</w:p>
        </w:tc>
      </w:tr>
      <w:tr w:rsidR="00F127D9" w:rsidRPr="00F127D9" w:rsidTr="00F127D9">
        <w:trPr>
          <w:trHeight w:val="525"/>
        </w:trPr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spacing w:after="200" w:line="276" w:lineRule="auto"/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Tuzlu su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Bronz CuSn10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>
            <w:pPr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rPr>
                <w:color w:val="595959" w:themeColor="text1" w:themeTint="A6"/>
              </w:rPr>
            </w:pPr>
          </w:p>
        </w:tc>
      </w:tr>
      <w:tr w:rsidR="00F127D9" w:rsidRPr="00F127D9" w:rsidTr="00F127D9">
        <w:trPr>
          <w:trHeight w:val="510"/>
        </w:trPr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D9" w:rsidRPr="00F127D9" w:rsidRDefault="00F127D9" w:rsidP="00F127D9">
            <w:pPr>
              <w:spacing w:after="200" w:line="276" w:lineRule="auto"/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Demineralize su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316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???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</w:tc>
      </w:tr>
      <w:tr w:rsidR="00F127D9" w:rsidRPr="00F127D9" w:rsidTr="00F127D9">
        <w:trPr>
          <w:trHeight w:val="390"/>
        </w:trPr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Parçacıklı su (hamsu)</w:t>
            </w:r>
          </w:p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GGG40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CuSn10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AISI 420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  <w:r w:rsidRPr="00F127D9">
              <w:rPr>
                <w:color w:val="595959" w:themeColor="text1" w:themeTint="A6"/>
              </w:rPr>
              <w:t>GGG40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</w:tcBorders>
          </w:tcPr>
          <w:p w:rsidR="00F127D9" w:rsidRPr="00F127D9" w:rsidRDefault="00F127D9" w:rsidP="00F127D9">
            <w:pPr>
              <w:ind w:left="-23"/>
              <w:rPr>
                <w:color w:val="595959" w:themeColor="text1" w:themeTint="A6"/>
              </w:rPr>
            </w:pPr>
          </w:p>
        </w:tc>
      </w:tr>
    </w:tbl>
    <w:p w:rsidR="004647D7" w:rsidRPr="00D01F72" w:rsidRDefault="004647D7" w:rsidP="00271BF3">
      <w:pPr>
        <w:rPr>
          <w:color w:val="404040" w:themeColor="text1" w:themeTint="BF"/>
        </w:rPr>
      </w:pPr>
    </w:p>
    <w:p w:rsidR="00271BF3" w:rsidRPr="00AE7801" w:rsidRDefault="00271BF3" w:rsidP="00271BF3">
      <w:pPr>
        <w:rPr>
          <w:b/>
          <w:color w:val="404040" w:themeColor="text1" w:themeTint="BF"/>
        </w:rPr>
      </w:pPr>
      <w:r w:rsidRPr="00D01F72">
        <w:rPr>
          <w:color w:val="404040" w:themeColor="text1" w:themeTint="BF"/>
        </w:rPr>
        <w:t xml:space="preserve">       4.</w:t>
      </w:r>
      <w:r w:rsidRPr="00AE7801">
        <w:rPr>
          <w:b/>
          <w:color w:val="404040" w:themeColor="text1" w:themeTint="BF"/>
        </w:rPr>
        <w:t>MOTOR</w:t>
      </w:r>
    </w:p>
    <w:p w:rsidR="00271BF3" w:rsidRPr="00D01F72" w:rsidRDefault="00271BF3" w:rsidP="00271BF3">
      <w:pPr>
        <w:rPr>
          <w:color w:val="404040" w:themeColor="text1" w:themeTint="BF"/>
        </w:rPr>
      </w:pPr>
      <w:r w:rsidRPr="00D01F72">
        <w:rPr>
          <w:color w:val="404040" w:themeColor="text1" w:themeTint="BF"/>
        </w:rPr>
        <w:tab/>
        <w:t>Asenkron/IP 55 / Voltaj..../</w:t>
      </w:r>
      <w:r w:rsidR="00F127D9" w:rsidRPr="00D01F72">
        <w:rPr>
          <w:color w:val="404040" w:themeColor="text1" w:themeTint="BF"/>
        </w:rPr>
        <w:t xml:space="preserve"> minimum </w:t>
      </w:r>
      <w:r w:rsidRPr="00D01F72">
        <w:rPr>
          <w:color w:val="404040" w:themeColor="text1" w:themeTint="BF"/>
        </w:rPr>
        <w:t xml:space="preserve"> IE2 verimli / g</w:t>
      </w:r>
      <w:r w:rsidR="00F127D9" w:rsidRPr="00D01F72">
        <w:rPr>
          <w:color w:val="404040" w:themeColor="text1" w:themeTint="BF"/>
        </w:rPr>
        <w:t>ö</w:t>
      </w:r>
      <w:r w:rsidRPr="00D01F72">
        <w:rPr>
          <w:color w:val="404040" w:themeColor="text1" w:themeTint="BF"/>
        </w:rPr>
        <w:t>vde</w:t>
      </w:r>
      <w:r w:rsidR="00F127D9" w:rsidRPr="00D01F72">
        <w:rPr>
          <w:color w:val="404040" w:themeColor="text1" w:themeTint="BF"/>
        </w:rPr>
        <w:t xml:space="preserve"> tipi</w:t>
      </w:r>
      <w:r w:rsidRPr="00D01F72">
        <w:rPr>
          <w:color w:val="404040" w:themeColor="text1" w:themeTint="BF"/>
        </w:rPr>
        <w:t xml:space="preserve"> / F veya H tipi izolasyon sınıflı</w:t>
      </w:r>
    </w:p>
    <w:p w:rsidR="00A16C39" w:rsidRPr="00D01F72" w:rsidRDefault="00A16C39" w:rsidP="00271BF3">
      <w:pPr>
        <w:rPr>
          <w:color w:val="404040" w:themeColor="text1" w:themeTint="BF"/>
        </w:rPr>
      </w:pPr>
      <w:r w:rsidRPr="00D01F72">
        <w:rPr>
          <w:color w:val="404040" w:themeColor="text1" w:themeTint="BF"/>
        </w:rPr>
        <w:t xml:space="preserve">       5.</w:t>
      </w:r>
      <w:r w:rsidRPr="00AE7801">
        <w:rPr>
          <w:b/>
          <w:color w:val="404040" w:themeColor="text1" w:themeTint="BF"/>
        </w:rPr>
        <w:t>KUMANDA</w:t>
      </w:r>
    </w:p>
    <w:p w:rsidR="00A16C39" w:rsidRPr="00D01F72" w:rsidRDefault="00A16C39" w:rsidP="00271BF3">
      <w:pPr>
        <w:rPr>
          <w:color w:val="404040" w:themeColor="text1" w:themeTint="BF"/>
        </w:rPr>
      </w:pPr>
      <w:r w:rsidRPr="00D01F72">
        <w:rPr>
          <w:color w:val="404040" w:themeColor="text1" w:themeTint="BF"/>
        </w:rPr>
        <w:t xml:space="preserve">            Direk kaldırıcı / yıldız – üçgen / yumuşak kaldırıcı / frekans konvertörlü / IP 55 / IEC standartlarına uygun</w:t>
      </w:r>
    </w:p>
    <w:p w:rsidR="00A16C39" w:rsidRPr="00D01F72" w:rsidRDefault="00A16C39" w:rsidP="00271BF3">
      <w:pPr>
        <w:rPr>
          <w:color w:val="404040" w:themeColor="text1" w:themeTint="BF"/>
        </w:rPr>
      </w:pPr>
      <w:r w:rsidRPr="00D01F72">
        <w:rPr>
          <w:color w:val="404040" w:themeColor="text1" w:themeTint="BF"/>
        </w:rPr>
        <w:t xml:space="preserve">       6. </w:t>
      </w:r>
      <w:r w:rsidRPr="00AE7801">
        <w:rPr>
          <w:b/>
          <w:color w:val="404040" w:themeColor="text1" w:themeTint="BF"/>
        </w:rPr>
        <w:t>ÖZEL ŞARTLAR</w:t>
      </w:r>
    </w:p>
    <w:p w:rsidR="00A16C39" w:rsidRPr="00D01F72" w:rsidRDefault="00A16C39" w:rsidP="00271BF3">
      <w:pPr>
        <w:rPr>
          <w:color w:val="404040" w:themeColor="text1" w:themeTint="BF"/>
        </w:rPr>
      </w:pPr>
      <w:r w:rsidRPr="00D01F72">
        <w:rPr>
          <w:color w:val="404040" w:themeColor="text1" w:themeTint="BF"/>
        </w:rPr>
        <w:t xml:space="preserve">          -rulman için sıcaklık ölçer</w:t>
      </w:r>
    </w:p>
    <w:p w:rsidR="004647D7" w:rsidRPr="00D01F72" w:rsidRDefault="00A16C39" w:rsidP="004647D7">
      <w:pPr>
        <w:rPr>
          <w:color w:val="404040" w:themeColor="text1" w:themeTint="BF"/>
        </w:rPr>
      </w:pPr>
      <w:r w:rsidRPr="00D01F72">
        <w:rPr>
          <w:color w:val="404040" w:themeColor="text1" w:themeTint="BF"/>
        </w:rPr>
        <w:t xml:space="preserve">          - boya</w:t>
      </w:r>
    </w:p>
    <w:p w:rsidR="004647D7" w:rsidRPr="00D01F72" w:rsidRDefault="004647D7" w:rsidP="004647D7">
      <w:pPr>
        <w:rPr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      </w:t>
      </w:r>
      <w:r w:rsidR="00A16C39" w:rsidRPr="00D01F72">
        <w:rPr>
          <w:color w:val="262626" w:themeColor="text1" w:themeTint="D9"/>
        </w:rPr>
        <w:t xml:space="preserve">   - saç kalınlığı</w:t>
      </w:r>
    </w:p>
    <w:p w:rsidR="004647D7" w:rsidRPr="00D01F72" w:rsidRDefault="004647D7" w:rsidP="004647D7">
      <w:pPr>
        <w:rPr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        </w:t>
      </w:r>
      <w:r w:rsidRPr="00D01F72">
        <w:rPr>
          <w:color w:val="262626" w:themeColor="text1" w:themeTint="D9"/>
        </w:rPr>
        <w:t xml:space="preserve">-Paralel çalışacak pompalar için istekliler pompalara ait paralel çalışma durumundaki performans eğrilerini üzerlerinde sistem eğrisi çizili olacak şekilde vereceklerdir. </w:t>
      </w:r>
    </w:p>
    <w:p w:rsidR="004647D7" w:rsidRPr="00D01F72" w:rsidRDefault="004647D7" w:rsidP="004647D7">
      <w:pPr>
        <w:rPr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        - Etiket bilgileri ve bağlaması bu kısımda verilebilir.</w:t>
      </w:r>
    </w:p>
    <w:p w:rsidR="004647D7" w:rsidRPr="00D01F72" w:rsidRDefault="004647D7" w:rsidP="004647D7">
      <w:pPr>
        <w:rPr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       </w:t>
      </w:r>
      <w:r w:rsidRPr="00D01F72">
        <w:rPr>
          <w:color w:val="262626" w:themeColor="text1" w:themeTint="D9"/>
        </w:rPr>
        <w:t xml:space="preserve">-Flanşlar TS ISO </w:t>
      </w:r>
      <w:r w:rsidRPr="00D01F72">
        <w:rPr>
          <w:color w:val="262626" w:themeColor="text1" w:themeTint="D9"/>
        </w:rPr>
        <w:t>1092</w:t>
      </w:r>
      <w:r w:rsidRPr="00D01F72">
        <w:rPr>
          <w:color w:val="262626" w:themeColor="text1" w:themeTint="D9"/>
        </w:rPr>
        <w:t>–2 PN16’ya uygun olacaktır.</w:t>
      </w:r>
    </w:p>
    <w:p w:rsidR="00A16C39" w:rsidRPr="00D01F72" w:rsidRDefault="00A16C39" w:rsidP="00271BF3">
      <w:pPr>
        <w:rPr>
          <w:color w:val="262626" w:themeColor="text1" w:themeTint="D9"/>
        </w:rPr>
      </w:pPr>
    </w:p>
    <w:p w:rsidR="00A16C39" w:rsidRPr="00D01F72" w:rsidRDefault="00A16C39" w:rsidP="00A16C39">
      <w:pPr>
        <w:rPr>
          <w:b/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      7. </w:t>
      </w:r>
      <w:r w:rsidRPr="00D01F72">
        <w:rPr>
          <w:b/>
          <w:color w:val="262626" w:themeColor="text1" w:themeTint="D9"/>
        </w:rPr>
        <w:t>EKONOMİK AÇIDAN EN AVANTAJLI TEKLİFİN BELİRLENMESİ</w:t>
      </w:r>
    </w:p>
    <w:p w:rsidR="00A16C39" w:rsidRPr="00D01F72" w:rsidRDefault="00A16C39" w:rsidP="00A16C39">
      <w:pPr>
        <w:pStyle w:val="ListParagraph"/>
        <w:ind w:left="735"/>
        <w:rPr>
          <w:color w:val="262626" w:themeColor="text1" w:themeTint="D9"/>
        </w:rPr>
      </w:pPr>
      <w:r w:rsidRPr="00D01F72">
        <w:rPr>
          <w:color w:val="262626" w:themeColor="text1" w:themeTint="D9"/>
        </w:rPr>
        <w:tab/>
        <w:t xml:space="preserve">Ekonomik açıdan en avantajlı teklifin belirlenmesinde POMSAD’ın,  Hydraulic Institute ve Europump dan çevirisini yaptığı “Pompalı Tesisler için Ömür Boyu Maliyet Analiz Rehberi” nde tarif edildiği gibi yapılacaktır. </w:t>
      </w:r>
    </w:p>
    <w:p w:rsidR="00A16C39" w:rsidRPr="00D01F72" w:rsidRDefault="00A16C39" w:rsidP="00271BF3">
      <w:pPr>
        <w:rPr>
          <w:color w:val="262626" w:themeColor="text1" w:themeTint="D9"/>
        </w:rPr>
      </w:pPr>
    </w:p>
    <w:p w:rsidR="00A16C39" w:rsidRPr="00AE7801" w:rsidRDefault="00AE7801" w:rsidP="00AE7801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</w:t>
      </w:r>
      <w:r w:rsidR="00A16C39" w:rsidRPr="00AE7801">
        <w:rPr>
          <w:color w:val="262626" w:themeColor="text1" w:themeTint="D9"/>
        </w:rPr>
        <w:t xml:space="preserve"> 8</w:t>
      </w:r>
      <w:r w:rsidR="00A16C39" w:rsidRPr="00AE7801">
        <w:rPr>
          <w:b/>
          <w:color w:val="262626" w:themeColor="text1" w:themeTint="D9"/>
        </w:rPr>
        <w:t>. POMPANIN KABULÜ</w:t>
      </w:r>
      <w:r w:rsidR="00A16C39" w:rsidRPr="00AE7801">
        <w:rPr>
          <w:color w:val="262626" w:themeColor="text1" w:themeTint="D9"/>
        </w:rPr>
        <w:t xml:space="preserve"> </w:t>
      </w:r>
    </w:p>
    <w:p w:rsidR="00A16C39" w:rsidRPr="00D01F72" w:rsidRDefault="00A16C39" w:rsidP="00A16C39">
      <w:pPr>
        <w:pStyle w:val="ListParagraph"/>
        <w:ind w:left="735"/>
        <w:rPr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Pompaların kabulü TS EN ISO 9906 Sınıf 1’e göre yapılacaktır. </w:t>
      </w:r>
    </w:p>
    <w:p w:rsidR="00271BF3" w:rsidRPr="00D01F72" w:rsidRDefault="00D01F72" w:rsidP="00271BF3">
      <w:pPr>
        <w:rPr>
          <w:color w:val="262626" w:themeColor="text1" w:themeTint="D9"/>
        </w:rPr>
      </w:pPr>
      <w:r w:rsidRPr="00D01F72">
        <w:rPr>
          <w:color w:val="262626" w:themeColor="text1" w:themeTint="D9"/>
        </w:rPr>
        <w:t xml:space="preserve">  </w:t>
      </w:r>
      <w:r w:rsidR="00AE7801">
        <w:rPr>
          <w:color w:val="262626" w:themeColor="text1" w:themeTint="D9"/>
        </w:rPr>
        <w:t xml:space="preserve">       </w:t>
      </w:r>
      <w:r w:rsidRPr="00D01F72">
        <w:rPr>
          <w:color w:val="262626" w:themeColor="text1" w:themeTint="D9"/>
        </w:rPr>
        <w:t xml:space="preserve"> (Kabul ile ilgili istenen özel şartlar bu kısımda belirtilebilecektir.)</w:t>
      </w:r>
    </w:p>
    <w:bookmarkEnd w:id="1"/>
    <w:p w:rsidR="00A16C39" w:rsidRDefault="00A16C39">
      <w:pPr>
        <w:pStyle w:val="ListParagraph"/>
        <w:ind w:left="735"/>
      </w:pPr>
    </w:p>
    <w:sectPr w:rsidR="00A16C39" w:rsidSect="003A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5BE"/>
    <w:multiLevelType w:val="multilevel"/>
    <w:tmpl w:val="EB1057B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77" w:hanging="397"/>
      </w:pPr>
      <w:rPr>
        <w:rFonts w:ascii="Times New Roman" w:hAnsi="Times New Roman" w:hint="default"/>
        <w:b/>
        <w:i w:val="0"/>
        <w:color w:val="auto"/>
        <w:spacing w:val="0"/>
        <w:position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217" w:hanging="737"/>
      </w:pPr>
      <w:rPr>
        <w:rFonts w:ascii="Times New Roman" w:hAnsi="Times New Roman" w:hint="default"/>
        <w:b/>
        <w:i w:val="0"/>
        <w:strike w:val="0"/>
        <w:color w:val="00000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971" w:hanging="851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1021" w:hanging="1021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1134" w:hanging="1134"/>
      </w:pPr>
      <w:rPr>
        <w:rFonts w:ascii="Times New Roman" w:hAnsi="Times New Roman" w:hint="default"/>
        <w:b/>
        <w:i w:val="0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1247" w:hanging="1247"/>
      </w:pPr>
      <w:rPr>
        <w:rFonts w:ascii="Times New Roman" w:hAnsi="Times New Roman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1361" w:hanging="1361"/>
      </w:pPr>
      <w:rPr>
        <w:rFonts w:ascii="Times New Roman" w:hAnsi="Times New Roman" w:hint="default"/>
        <w:b/>
        <w:i w:val="0"/>
        <w:sz w:val="20"/>
      </w:rPr>
    </w:lvl>
  </w:abstractNum>
  <w:abstractNum w:abstractNumId="1">
    <w:nsid w:val="418E2F61"/>
    <w:multiLevelType w:val="multilevel"/>
    <w:tmpl w:val="33D4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0C126E"/>
    <w:multiLevelType w:val="multilevel"/>
    <w:tmpl w:val="33D4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C3A30"/>
    <w:multiLevelType w:val="hybridMultilevel"/>
    <w:tmpl w:val="E43C4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1"/>
    <w:rsid w:val="00026935"/>
    <w:rsid w:val="00051DC0"/>
    <w:rsid w:val="00075624"/>
    <w:rsid w:val="000D77C5"/>
    <w:rsid w:val="00187336"/>
    <w:rsid w:val="00187FA8"/>
    <w:rsid w:val="00221E00"/>
    <w:rsid w:val="00257C25"/>
    <w:rsid w:val="00271BF3"/>
    <w:rsid w:val="002808B4"/>
    <w:rsid w:val="003A6191"/>
    <w:rsid w:val="003B00D8"/>
    <w:rsid w:val="004647D7"/>
    <w:rsid w:val="00466355"/>
    <w:rsid w:val="00477E58"/>
    <w:rsid w:val="00483F4D"/>
    <w:rsid w:val="005C0AD9"/>
    <w:rsid w:val="006D6CD2"/>
    <w:rsid w:val="007A6A29"/>
    <w:rsid w:val="0083334B"/>
    <w:rsid w:val="00834CCB"/>
    <w:rsid w:val="00836878"/>
    <w:rsid w:val="00890B1C"/>
    <w:rsid w:val="008B1A71"/>
    <w:rsid w:val="008F526B"/>
    <w:rsid w:val="0098545E"/>
    <w:rsid w:val="009F1F11"/>
    <w:rsid w:val="00A16C39"/>
    <w:rsid w:val="00AA4935"/>
    <w:rsid w:val="00AE7801"/>
    <w:rsid w:val="00C6605A"/>
    <w:rsid w:val="00CC5BF9"/>
    <w:rsid w:val="00D0011B"/>
    <w:rsid w:val="00D01F72"/>
    <w:rsid w:val="00D46745"/>
    <w:rsid w:val="00D75C61"/>
    <w:rsid w:val="00DD03E1"/>
    <w:rsid w:val="00E661A8"/>
    <w:rsid w:val="00E74BD6"/>
    <w:rsid w:val="00E87B88"/>
    <w:rsid w:val="00EA70D0"/>
    <w:rsid w:val="00ED544E"/>
    <w:rsid w:val="00F127D9"/>
    <w:rsid w:val="00F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F1F11"/>
    <w:pPr>
      <w:spacing w:before="60" w:after="0" w:line="240" w:lineRule="atLeast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9F1F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98545E"/>
    <w:pPr>
      <w:ind w:left="720"/>
      <w:contextualSpacing/>
    </w:pPr>
  </w:style>
  <w:style w:type="table" w:styleId="TableGrid">
    <w:name w:val="Table Grid"/>
    <w:basedOn w:val="TableNormal"/>
    <w:uiPriority w:val="59"/>
    <w:rsid w:val="00F1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F1F11"/>
    <w:pPr>
      <w:spacing w:before="60" w:after="0" w:line="240" w:lineRule="atLeast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9F1F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98545E"/>
    <w:pPr>
      <w:ind w:left="720"/>
      <w:contextualSpacing/>
    </w:pPr>
  </w:style>
  <w:style w:type="table" w:styleId="TableGrid">
    <w:name w:val="Table Grid"/>
    <w:basedOn w:val="TableNormal"/>
    <w:uiPriority w:val="59"/>
    <w:rsid w:val="00F1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CEZMI</dc:creator>
  <cp:lastModifiedBy>Karadoganh</cp:lastModifiedBy>
  <cp:revision>3</cp:revision>
  <dcterms:created xsi:type="dcterms:W3CDTF">2012-04-16T12:16:00Z</dcterms:created>
  <dcterms:modified xsi:type="dcterms:W3CDTF">2012-04-16T12:19:00Z</dcterms:modified>
</cp:coreProperties>
</file>